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44254B"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44254B"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DE64C0" w:rsidP="00CE164A">
      <w:pPr>
        <w:jc w:val="both"/>
        <w:rPr>
          <w:rFonts w:ascii="Verdana" w:hAnsi="Verdana"/>
          <w:sz w:val="18"/>
          <w:szCs w:val="18"/>
          <w:lang w:val="it-IT" w:eastAsia="it-IT"/>
        </w:rPr>
      </w:pPr>
      <w:r w:rsidRPr="00DE64C0">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44254B"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44254B"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DE64C0" w:rsidP="00CE164A">
      <w:pPr>
        <w:tabs>
          <w:tab w:val="left" w:pos="2161"/>
        </w:tabs>
        <w:jc w:val="both"/>
        <w:rPr>
          <w:rFonts w:ascii="Verdana" w:hAnsi="Verdana"/>
          <w:sz w:val="18"/>
          <w:szCs w:val="18"/>
          <w:lang w:val="it-IT" w:eastAsia="it-IT"/>
        </w:rPr>
      </w:pPr>
      <w:r w:rsidRPr="00DE64C0">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44254B"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DE64C0" w:rsidP="00CE164A">
      <w:pPr>
        <w:jc w:val="both"/>
        <w:rPr>
          <w:rFonts w:ascii="Verdana" w:hAnsi="Verdana"/>
          <w:b/>
          <w:sz w:val="18"/>
          <w:szCs w:val="18"/>
          <w:lang w:val="it-IT" w:eastAsia="it-IT"/>
        </w:rPr>
      </w:pPr>
      <w:r w:rsidRPr="00DE64C0">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DE64C0" w:rsidP="00245761">
      <w:pPr>
        <w:jc w:val="both"/>
        <w:rPr>
          <w:rFonts w:ascii="Verdana" w:hAnsi="Verdana"/>
          <w:b/>
          <w:sz w:val="18"/>
          <w:szCs w:val="18"/>
          <w:lang w:val="it-IT" w:eastAsia="it-IT"/>
        </w:rPr>
      </w:pPr>
      <w:r w:rsidRPr="00DE64C0">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DE64C0" w:rsidP="00CE164A">
      <w:pPr>
        <w:jc w:val="both"/>
        <w:rPr>
          <w:rFonts w:ascii="Verdana" w:hAnsi="Verdana"/>
          <w:b/>
          <w:sz w:val="18"/>
          <w:szCs w:val="18"/>
          <w:lang w:val="it-IT" w:eastAsia="it-IT"/>
        </w:rPr>
      </w:pPr>
      <w:r w:rsidRPr="00DE64C0">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07B702DB" w14:textId="77777777" w:rsidR="0044254B" w:rsidRPr="0044254B" w:rsidRDefault="0044254B" w:rsidP="0044254B">
      <w:pPr>
        <w:ind w:left="567"/>
        <w:jc w:val="both"/>
        <w:rPr>
          <w:rFonts w:ascii="Verdana" w:hAnsi="Verdana"/>
          <w:noProof/>
          <w:sz w:val="18"/>
          <w:szCs w:val="18"/>
          <w:lang w:val="it-IT"/>
        </w:rPr>
      </w:pPr>
      <w:r w:rsidRPr="0044254B">
        <w:rPr>
          <w:rFonts w:ascii="Verdana" w:hAnsi="Verdana"/>
          <w:b/>
          <w:bCs/>
          <w:noProof/>
          <w:sz w:val="18"/>
          <w:szCs w:val="18"/>
          <w:lang w:val="it-IT"/>
        </w:rPr>
        <w:t>Assicurazione di responsabilità civile e infortuni</w:t>
      </w:r>
      <w:r w:rsidRPr="0044254B">
        <w:rPr>
          <w:rFonts w:ascii="Verdana" w:hAnsi="Verdana"/>
          <w:noProof/>
          <w:sz w:val="18"/>
          <w:szCs w:val="18"/>
          <w:lang w:val="it-IT"/>
        </w:rPr>
        <w:br/>
        <w:t>L’Università degli Studi di Roma “Tor Vergata” ha attivato diverse  polizze integrative con compagnie assicurative private per studenti e laureati, entro i 18 mesi dalla laurea.</w:t>
      </w:r>
      <w:r w:rsidRPr="0044254B">
        <w:rPr>
          <w:rFonts w:ascii="Verdana" w:hAnsi="Verdana"/>
          <w:noProof/>
          <w:sz w:val="18"/>
          <w:szCs w:val="18"/>
          <w:lang w:val="it-IT"/>
        </w:rPr>
        <w:br/>
      </w:r>
      <w:r w:rsidRPr="0044254B">
        <w:rPr>
          <w:rFonts w:ascii="Verdana" w:hAnsi="Verdana"/>
          <w:noProof/>
          <w:sz w:val="18"/>
          <w:szCs w:val="18"/>
          <w:u w:val="single"/>
          <w:lang w:val="it-IT"/>
        </w:rPr>
        <w:t>Le polizze sono disponibili in versione integrale al sito:</w:t>
      </w:r>
      <w:r w:rsidRPr="0044254B">
        <w:rPr>
          <w:rFonts w:ascii="Verdana" w:hAnsi="Verdana"/>
          <w:noProof/>
          <w:sz w:val="18"/>
          <w:szCs w:val="18"/>
          <w:lang w:val="it-IT"/>
        </w:rPr>
        <w:br/>
      </w:r>
      <w:hyperlink r:id="rId13" w:history="1">
        <w:r w:rsidRPr="0044254B">
          <w:rPr>
            <w:rStyle w:val="Collegamentoipertestuale"/>
            <w:rFonts w:ascii="Verdana" w:hAnsi="Verdana"/>
            <w:noProof/>
            <w:sz w:val="18"/>
            <w:szCs w:val="18"/>
            <w:lang w:val="it-IT"/>
          </w:rPr>
          <w:t>https://web.uniroma2.it/it/percorso/amministrazione_del_personale/sezione/coperture_assicurative</w:t>
        </w:r>
      </w:hyperlink>
    </w:p>
    <w:p w14:paraId="12F5324D" w14:textId="0D380982" w:rsidR="0044254B" w:rsidRPr="0044254B" w:rsidRDefault="0044254B" w:rsidP="0044254B">
      <w:pPr>
        <w:ind w:left="567"/>
        <w:jc w:val="both"/>
        <w:rPr>
          <w:rFonts w:ascii="Verdana" w:hAnsi="Verdana"/>
          <w:noProof/>
          <w:sz w:val="18"/>
          <w:szCs w:val="18"/>
          <w:lang w:val="it-IT"/>
        </w:rPr>
      </w:pPr>
      <w:r w:rsidRPr="0044254B">
        <w:rPr>
          <w:rFonts w:ascii="Verdana" w:hAnsi="Verdana"/>
          <w:noProof/>
          <w:sz w:val="18"/>
          <w:szCs w:val="18"/>
          <w:lang w:val="it-IT"/>
        </w:rPr>
        <w:br/>
        <w:t>Durante il periodo di mobilità all’estero nell’ambito del Programma NST, Erasmus+ Student Traineeship, gli studenti iscritti presso l’Università degli Studi di Roma “Tor Vergata” (i laureati in mobilità dovranno provvedere autonomamente) fruiscono della tutela assicurativa INAIL/Gestione per conto dello Stato per infortuni e malattia professionale ai sensi del D.P.R. 30/06/1965 n.1124.</w:t>
      </w:r>
      <w:r w:rsidRPr="0044254B">
        <w:rPr>
          <w:rFonts w:ascii="Verdana" w:hAnsi="Verdana"/>
          <w:noProof/>
          <w:sz w:val="18"/>
          <w:szCs w:val="18"/>
          <w:lang w:val="it-IT"/>
        </w:rPr>
        <w:br/>
      </w:r>
      <w:r w:rsidRPr="0044254B">
        <w:rPr>
          <w:rFonts w:ascii="Verdana" w:hAnsi="Verdana"/>
          <w:noProof/>
          <w:sz w:val="18"/>
          <w:szCs w:val="18"/>
          <w:lang w:val="it-IT"/>
        </w:rPr>
        <w:br/>
        <w:t xml:space="preserve">Il presente Accordo riporterà le disposizioni relative alla </w:t>
      </w:r>
      <w:r w:rsidRPr="0044254B">
        <w:rPr>
          <w:rFonts w:ascii="Verdana" w:hAnsi="Verdana"/>
          <w:b/>
          <w:bCs/>
          <w:noProof/>
          <w:sz w:val="18"/>
          <w:szCs w:val="18"/>
          <w:lang w:val="it-IT"/>
        </w:rPr>
        <w:t>copertura assicurativa sanitaria</w:t>
      </w:r>
      <w:r w:rsidRPr="0044254B">
        <w:rPr>
          <w:rFonts w:ascii="Verdana" w:hAnsi="Verdana"/>
          <w:noProof/>
          <w:sz w:val="18"/>
          <w:szCs w:val="18"/>
          <w:lang w:val="it-IT"/>
        </w:rPr>
        <w:t xml:space="preserve"> per mobilità di traineeship. Se il candidato è in possesso della Tessera Europea di Assicurazione Malattia (TEAM) ha automaticamente diritto alle prestazioni del Servizio Sanitario Nazionale in tutti i Paesi aderenti all’U.E. (per informazioni: </w:t>
      </w:r>
      <w:hyperlink r:id="rId14" w:history="1">
        <w:r w:rsidRPr="0044254B">
          <w:rPr>
            <w:rStyle w:val="Collegamentoipertestuale"/>
            <w:rFonts w:ascii="Verdana" w:hAnsi="Verdana"/>
            <w:noProof/>
            <w:sz w:val="18"/>
            <w:szCs w:val="18"/>
            <w:lang w:val="it-IT"/>
          </w:rPr>
          <w:t>http://ec.europa.eu/social/main.jsp?catId=559&amp;langId=it</w:t>
        </w:r>
      </w:hyperlink>
      <w:r w:rsidRPr="0044254B">
        <w:rPr>
          <w:rFonts w:ascii="Verdana" w:hAnsi="Verdana"/>
          <w:noProof/>
          <w:sz w:val="18"/>
          <w:szCs w:val="18"/>
          <w:lang w:val="it-IT"/>
        </w:rPr>
        <w:t xml:space="preserve">  ;  </w:t>
      </w:r>
      <w:hyperlink r:id="rId15" w:history="1">
        <w:r w:rsidRPr="0044254B">
          <w:rPr>
            <w:rStyle w:val="Collegamentoipertestuale"/>
            <w:rFonts w:ascii="Verdana" w:hAnsi="Verdana"/>
            <w:noProof/>
            <w:sz w:val="18"/>
            <w:szCs w:val="18"/>
            <w:lang w:val="it-IT"/>
          </w:rPr>
          <w:t>www.sistemats.it</w:t>
        </w:r>
      </w:hyperlink>
      <w:r w:rsidRPr="0044254B">
        <w:rPr>
          <w:rFonts w:ascii="Verdana" w:hAnsi="Verdana"/>
          <w:noProof/>
          <w:sz w:val="18"/>
          <w:szCs w:val="18"/>
          <w:lang w:val="it-IT"/>
        </w:rPr>
        <w:t>).</w:t>
      </w:r>
      <w:r w:rsidRPr="0044254B">
        <w:rPr>
          <w:rFonts w:ascii="Verdana" w:hAnsi="Verdana"/>
          <w:noProof/>
          <w:sz w:val="18"/>
          <w:szCs w:val="18"/>
          <w:lang w:val="it-IT"/>
        </w:rPr>
        <w:br/>
      </w:r>
      <w:r w:rsidRPr="0044254B">
        <w:rPr>
          <w:rFonts w:ascii="Verdana" w:hAnsi="Verdana"/>
          <w:i/>
          <w:iCs/>
          <w:noProof/>
          <w:sz w:val="18"/>
          <w:szCs w:val="18"/>
          <w:lang w:val="it-IT"/>
        </w:rPr>
        <w:t xml:space="preserve">Tuttavia, la copertura della Tessera Europea di Assicurazione Malattia o di un’assicurazione privata può non essere sufficiente, soprattutto in caso di </w:t>
      </w:r>
      <w:r w:rsidRPr="0044254B">
        <w:rPr>
          <w:rFonts w:ascii="Verdana" w:hAnsi="Verdana"/>
          <w:b/>
          <w:bCs/>
          <w:i/>
          <w:iCs/>
          <w:noProof/>
          <w:sz w:val="18"/>
          <w:szCs w:val="18"/>
          <w:lang w:val="it-IT"/>
        </w:rPr>
        <w:t>rimpatrio e di uno specifico intervento medico</w:t>
      </w:r>
      <w:r w:rsidRPr="0044254B">
        <w:rPr>
          <w:rFonts w:ascii="Verdana" w:hAnsi="Verdana"/>
          <w:i/>
          <w:iCs/>
          <w:noProof/>
          <w:sz w:val="18"/>
          <w:szCs w:val="18"/>
          <w:lang w:val="it-IT"/>
        </w:rPr>
        <w:t xml:space="preserve">. In tale caso, un'assicurazione integrativa privata potrebbe essere utile. </w:t>
      </w:r>
      <w:r w:rsidRPr="0044254B">
        <w:rPr>
          <w:rFonts w:ascii="Verdana" w:hAnsi="Verdana"/>
          <w:b/>
          <w:bCs/>
          <w:i/>
          <w:iCs/>
          <w:noProof/>
          <w:sz w:val="18"/>
          <w:szCs w:val="18"/>
          <w:lang w:val="it-IT"/>
        </w:rPr>
        <w:t>È responsabilità dell’Istituto di appartenenza, garantire che il Beneficiario sia informato dei requisiti previsti per l’assicurazione sanitaria nel Paese ospitante.</w:t>
      </w:r>
    </w:p>
    <w:p w14:paraId="45D9A2C4" w14:textId="07E56DEE" w:rsidR="00AA3A19" w:rsidRPr="009A035C" w:rsidRDefault="00AA3A19" w:rsidP="00AA3A19">
      <w:pPr>
        <w:ind w:left="567"/>
        <w:jc w:val="both"/>
        <w:rPr>
          <w:rFonts w:ascii="Verdana" w:eastAsia="Verdana" w:hAnsi="Verdana" w:cs="Verdana"/>
          <w:sz w:val="18"/>
          <w:szCs w:val="18"/>
          <w:lang w:val="it-IT"/>
        </w:rPr>
      </w:pP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lastRenderedPageBreak/>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4B9D10BC" w14:textId="324AFDD5" w:rsidR="00FC46F3" w:rsidRPr="0044254B" w:rsidRDefault="00DE704F" w:rsidP="0044254B">
      <w:pPr>
        <w:suppressAutoHyphens/>
        <w:ind w:left="360"/>
        <w:jc w:val="both"/>
        <w:rPr>
          <w:rFonts w:ascii="Verdana" w:hAnsi="Verdana" w:cs="Verdana"/>
          <w:sz w:val="18"/>
          <w:szCs w:val="18"/>
          <w:lang w:val="it-IT"/>
        </w:rPr>
      </w:pPr>
      <w:r w:rsidRPr="000F2432">
        <w:rPr>
          <w:b/>
          <w:bCs/>
          <w:color w:val="222222"/>
          <w:sz w:val="14"/>
          <w:szCs w:val="14"/>
          <w:lang w:val="it-IT"/>
        </w:rPr>
        <w:t> </w:t>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t>ARTICOLO 7 –</w:t>
      </w:r>
      <w:r w:rsidRPr="00AE38AC">
        <w:rPr>
          <w:rFonts w:ascii="Verdana" w:eastAsia="Verdana" w:hAnsi="Verdana" w:cs="Verdana"/>
          <w:b/>
          <w:color w:val="000000"/>
          <w:sz w:val="18"/>
          <w:szCs w:val="22"/>
          <w:lang w:val="it-IT" w:eastAsia="it-IT"/>
        </w:rPr>
        <w:t xml:space="preserve"> SUPPORTO LINGUISTICO ONLINE</w:t>
      </w:r>
      <w:r w:rsidR="00DE64C0" w:rsidRPr="00DE64C0">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DE64C0" w:rsidP="00CE164A">
      <w:pPr>
        <w:jc w:val="both"/>
        <w:rPr>
          <w:rFonts w:ascii="Verdana" w:hAnsi="Verdana"/>
          <w:sz w:val="18"/>
          <w:szCs w:val="18"/>
          <w:lang w:val="it-IT" w:eastAsia="it-IT"/>
        </w:rPr>
      </w:pPr>
      <w:r w:rsidRPr="00DE64C0">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DE64C0" w:rsidP="00CE164A">
      <w:pPr>
        <w:jc w:val="both"/>
        <w:rPr>
          <w:rFonts w:ascii="Verdana" w:hAnsi="Verdana"/>
          <w:sz w:val="18"/>
          <w:szCs w:val="18"/>
          <w:lang w:val="it-IT" w:eastAsia="it-IT"/>
        </w:rPr>
      </w:pPr>
      <w:r w:rsidRPr="00DE64C0">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DE64C0" w:rsidP="00CE164A">
      <w:pPr>
        <w:jc w:val="both"/>
        <w:rPr>
          <w:rFonts w:ascii="Verdana" w:hAnsi="Verdana"/>
          <w:b/>
          <w:sz w:val="18"/>
          <w:szCs w:val="18"/>
          <w:lang w:val="it-IT" w:eastAsia="it-IT"/>
        </w:rPr>
      </w:pPr>
      <w:r w:rsidRPr="00DE64C0">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6">
        <w:r w:rsidRPr="009B28CD">
          <w:rPr>
            <w:rFonts w:ascii="Verdana" w:hAnsi="Verdana"/>
            <w:color w:val="4472C4" w:themeColor="accent1"/>
            <w:sz w:val="18"/>
            <w:szCs w:val="18"/>
            <w:lang w:val="it-IT"/>
          </w:rPr>
          <w:t>https://webgate.ec.europa.eu/erasmus</w:t>
        </w:r>
      </w:hyperlink>
      <w:hyperlink r:id="rId17">
        <w:r w:rsidRPr="009B28CD">
          <w:rPr>
            <w:rFonts w:ascii="Verdana" w:hAnsi="Verdana"/>
            <w:color w:val="4472C4" w:themeColor="accent1"/>
            <w:sz w:val="18"/>
            <w:szCs w:val="18"/>
            <w:lang w:val="it-IT"/>
          </w:rPr>
          <w:t>-</w:t>
        </w:r>
      </w:hyperlink>
      <w:hyperlink r:id="rId18">
        <w:r w:rsidRPr="009B28CD">
          <w:rPr>
            <w:rFonts w:ascii="Verdana" w:hAnsi="Verdana"/>
            <w:color w:val="4472C4" w:themeColor="accent1"/>
            <w:sz w:val="18"/>
            <w:szCs w:val="18"/>
            <w:lang w:val="it-IT"/>
          </w:rPr>
          <w:t>esc/index/privacy</w:t>
        </w:r>
      </w:hyperlink>
      <w:hyperlink r:id="rId19">
        <w:r w:rsidRPr="009B28CD">
          <w:rPr>
            <w:rFonts w:ascii="Verdana" w:hAnsi="Verdana"/>
            <w:color w:val="4472C4" w:themeColor="accent1"/>
            <w:sz w:val="18"/>
            <w:szCs w:val="18"/>
            <w:lang w:val="it-IT"/>
          </w:rPr>
          <w:t>-</w:t>
        </w:r>
      </w:hyperlink>
      <w:hyperlink r:id="rId20">
        <w:r w:rsidRPr="009B28CD">
          <w:rPr>
            <w:rFonts w:ascii="Verdana" w:hAnsi="Verdana"/>
            <w:color w:val="4472C4" w:themeColor="accent1"/>
            <w:sz w:val="18"/>
            <w:szCs w:val="18"/>
            <w:lang w:val="it-IT"/>
          </w:rPr>
          <w:t>statement</w:t>
        </w:r>
      </w:hyperlink>
      <w:hyperlink r:id="rId21">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w:t>
      </w:r>
      <w:r w:rsidRPr="00B87B77">
        <w:rPr>
          <w:rFonts w:ascii="Verdana" w:hAnsi="Verdana"/>
          <w:sz w:val="18"/>
          <w:szCs w:val="18"/>
          <w:lang w:val="it-IT"/>
        </w:rPr>
        <w:lastRenderedPageBreak/>
        <w:t xml:space="preserve">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DE64C0" w:rsidP="00AE38AC">
      <w:pPr>
        <w:jc w:val="both"/>
        <w:rPr>
          <w:rFonts w:ascii="Verdana" w:hAnsi="Verdana"/>
          <w:b/>
          <w:sz w:val="18"/>
          <w:szCs w:val="18"/>
          <w:lang w:val="it-IT" w:eastAsia="it-IT"/>
        </w:rPr>
      </w:pPr>
      <w:r w:rsidRPr="00DE64C0">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DE64C0" w:rsidP="007B1EDF">
      <w:pPr>
        <w:jc w:val="both"/>
        <w:rPr>
          <w:rFonts w:ascii="Verdana" w:hAnsi="Verdana"/>
          <w:b/>
          <w:sz w:val="18"/>
          <w:szCs w:val="18"/>
          <w:lang w:val="it-IT" w:eastAsia="it-IT"/>
        </w:rPr>
      </w:pPr>
      <w:r w:rsidRPr="00DE64C0">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DE64C0" w:rsidP="007B1EDF">
      <w:pPr>
        <w:jc w:val="both"/>
        <w:rPr>
          <w:rFonts w:ascii="Verdana" w:hAnsi="Verdana"/>
          <w:b/>
          <w:sz w:val="18"/>
          <w:szCs w:val="18"/>
          <w:lang w:val="it-IT" w:eastAsia="it-IT"/>
        </w:rPr>
      </w:pPr>
      <w:r w:rsidRPr="00DE64C0">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DE64C0" w:rsidP="00CE164A">
      <w:pPr>
        <w:jc w:val="both"/>
        <w:rPr>
          <w:rFonts w:ascii="Verdana" w:hAnsi="Verdana"/>
          <w:b/>
          <w:sz w:val="18"/>
          <w:szCs w:val="18"/>
          <w:lang w:val="it-IT" w:eastAsia="it-IT"/>
        </w:rPr>
      </w:pPr>
      <w:r w:rsidRPr="00DE64C0">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22"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3"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4"/>
      <w:footerReference w:type="even" r:id="rId25"/>
      <w:footerReference w:type="default" r:id="rId26"/>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01876" w14:textId="77777777" w:rsidR="00DE64C0" w:rsidRDefault="00DE64C0">
      <w:r>
        <w:separator/>
      </w:r>
    </w:p>
  </w:endnote>
  <w:endnote w:type="continuationSeparator" w:id="0">
    <w:p w14:paraId="6C323FDA" w14:textId="77777777" w:rsidR="00DE64C0" w:rsidRDefault="00DE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78262" w14:textId="77777777" w:rsidR="00DE64C0" w:rsidRDefault="00DE64C0">
      <w:r>
        <w:separator/>
      </w:r>
    </w:p>
  </w:footnote>
  <w:footnote w:type="continuationSeparator" w:id="0">
    <w:p w14:paraId="710096BE" w14:textId="77777777" w:rsidR="00DE64C0" w:rsidRDefault="00DE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91"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4254B"/>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64C0"/>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uniroma2.it/it/percorso/amministrazione_del_personale/sezione/coperture_assicurative" TargetMode="External"/><Relationship Id="rId18" Type="http://schemas.openxmlformats.org/officeDocument/2006/relationships/hyperlink" Target="https://webgate.ec.europa.eu/erasmus-esc/index/privacy-statemen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ebgate.ec.europa.eu/erasmus-esc/index/privacy-statement" TargetMode="Externa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webgate.ec.europa.eu/erasmus-esc/index/privacy-stat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istemats.it" TargetMode="External"/><Relationship Id="rId23" Type="http://schemas.openxmlformats.org/officeDocument/2006/relationships/hyperlink" Target="https://erasmus-plus.ec.europa.eu/document/erasmus-student-charte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ebgate.ec.europa.eu/erasmus-esc/index/privacy-stat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social/main.jsp?catId=559&amp;langId=it" TargetMode="External"/><Relationship Id="rId22" Type="http://schemas.openxmlformats.org/officeDocument/2006/relationships/hyperlink" Target="https://erasmus-plus.ec.europa.eu/resources-and-tools/learning-agreement"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9</Pages>
  <Words>3053</Words>
  <Characters>17408</Characters>
  <Application>Microsoft Office Word</Application>
  <DocSecurity>0</DocSecurity>
  <Lines>145</Lines>
  <Paragraphs>40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20421</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